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center"/>
        <w:rPr>
          <w:rFonts w:eastAsia="Times New Roman" w:cs="Times New Roman"/>
          <w:sz w:val="32"/>
          <w:szCs w:val="60"/>
          <w:lang w:eastAsia="ru-RU"/>
          <w14:ligatures w14:val="none"/>
        </w:rPr>
      </w:pPr>
      <w:r>
        <w:rPr>
          <w:rFonts w:eastAsia="Times New Roman" w:cs="Times New Roman"/>
          <w:sz w:val="32"/>
          <w:szCs w:val="60"/>
          <w:lang w:eastAsia="ru-RU"/>
          <w14:ligatures w14:val="none"/>
        </w:rPr>
        <w:t xml:space="preserve">О выявляемых Департаментом государственной инспекции труда типичных нарушений требований охраны труда при эксплуатации транспортных средств</w:t>
      </w:r>
      <w:r>
        <w:rPr>
          <w:rFonts w:eastAsia="Times New Roman" w:cs="Times New Roman"/>
          <w:sz w:val="32"/>
          <w:szCs w:val="60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32"/>
          <w:szCs w:val="60"/>
          <w:lang w:eastAsia="ru-RU"/>
          <w14:ligatures w14:val="none"/>
        </w:rPr>
      </w:pPr>
      <w:r>
        <w:rPr>
          <w:rFonts w:eastAsia="Times New Roman" w:cs="Times New Roman"/>
          <w:sz w:val="32"/>
          <w:szCs w:val="60"/>
          <w:lang w:eastAsia="ru-RU"/>
          <w14:ligatures w14:val="none"/>
        </w:rPr>
      </w:r>
      <w:r>
        <w:rPr>
          <w:rFonts w:eastAsia="Times New Roman" w:cs="Times New Roman"/>
          <w:sz w:val="32"/>
          <w:szCs w:val="60"/>
          <w:lang w:eastAsia="ru-RU"/>
          <w14:ligatures w14:val="none"/>
        </w:rPr>
      </w:r>
    </w:p>
    <w:p>
      <w:pPr>
        <w:ind w:firstLine="708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Эксплуатация транспортных средств — это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 деятельность, осуществляемая при работе на транспортных средствах, выполнении работ по техническому обслуживанию и ремонту, уборке, мойке и хранению транспортных средств.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8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Требования по охране труда при эксплуатации автомобильного и городского электрического транспорта установлены Правилами по охране тру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да при эксплуатации автомобильного и городского электрического транспорта, утвержденных постановлением Министерства труда и социальной защиты Республики Беларусь и Министерства транспорта и коммуникаций Республики Беларусь от 06.12.2022 № 78/104 (Правила).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8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Требования по охране труда, содержащиеся в настоящих Правилах, направлены на обеспечен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ие здоровых и безопасных условий труда работающих, и распространяются на работодателей всех организационно-правовых форм и форм собственности, осуществляющих деятельность по организации производства и труда, связанного с эксплуатацией транспортных средств.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8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При эксплуатации транспортных средств на работающих возможно воздействие следующих характерных опасных производственных факторов: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pStyle w:val="627"/>
        <w:numPr>
          <w:ilvl w:val="0"/>
          <w:numId w:val="3"/>
        </w:numPr>
        <w:ind w:left="0" w:firstLine="709"/>
        <w:jc w:val="both"/>
        <w:tabs>
          <w:tab w:val="left" w:pos="851" w:leader="none"/>
        </w:tabs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движущиеся транспортные средства и другие машины и механизмы, подвижные части оборудования;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pStyle w:val="627"/>
        <w:numPr>
          <w:ilvl w:val="0"/>
          <w:numId w:val="3"/>
        </w:numPr>
        <w:ind w:left="0" w:firstLine="709"/>
        <w:jc w:val="both"/>
        <w:tabs>
          <w:tab w:val="left" w:pos="851" w:leader="none"/>
        </w:tabs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падающие предметы, инструмент;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pStyle w:val="627"/>
        <w:numPr>
          <w:ilvl w:val="0"/>
          <w:numId w:val="3"/>
        </w:numPr>
        <w:ind w:left="0" w:firstLine="709"/>
        <w:jc w:val="both"/>
        <w:tabs>
          <w:tab w:val="left" w:pos="851" w:leader="none"/>
        </w:tabs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разрушение конструкций грузоподъемных механизмов, применяемых для подъема транспортных средств и др.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Техническое состояние и укомплектованность транспортных средств, их узлов и агрегатов должны соответствовать требованиям технических нормативных правовых актов, настоящих Правил, а также эксплуатационных документов.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Перед выездом в рейс водитель автомобиля должен быть ознакомлен с метеорологическими условиями по маршруту его движения и особенностями перевозимого груза.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При подготовке к выезду транспортное средство подлежит осмотру в установленном работодателем порядке уполномоченным должностным лицом работодателя и водителем на предмет соответствия его технического состояния тр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ебованиям, установленным Правилами дорожного движения и техническими нормативными правовыми актами, являющимися в соответствии с законодательными актами и постановлениями Правительства Республики Беларусь обязательными для соблюдения, настоящими Правилами.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На бортах автомобилей-самосвалов должна быть нанесена контрастной несмываемой краской 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надпись: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 «Не работать без упора под поднятым кузовом!».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360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В случае необходимости выпо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лнения работ под поднятым кузовом автомобиля-самосвала, самосвального прицепа или полуприцепа следует устанавливать инвентарные приспособления фиксации кузова (упорную штангу, стопорные пальцы, фиксаторы), чтобы исключить самопроизвольное опускание кузова.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sz w:val="24"/>
          <w:szCs w:val="24"/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8823" cy="2625725"/>
                <wp:effectExtent l="0" t="0" r="0" b="317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270014" cy="2647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9.67pt;height:206.7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На бортах автомобилей-самосвалов</w:t>
      </w:r>
      <w:r>
        <w:rPr>
          <w:rFonts w:eastAsia="Times New Roman" w:cs="Times New Roman"/>
          <w:b/>
          <w:bCs/>
          <w:sz w:val="28"/>
          <w:szCs w:val="24"/>
          <w:lang w:eastAsia="ru-RU"/>
          <w14:ligatures w14:val="none"/>
        </w:rPr>
        <w:t xml:space="preserve"> 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не нанесены контрастной несмываемой краской 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надписи: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 «Не работать без упора под поднятым кузовом!».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Не установлены инвентарные приспособления фиксации кузова (упорные штанги, стопорные пальцы, фиксаторы), чтобы исключить самопроизвольное опускание кузова.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1819" cy="1909251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19951" cy="1945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8.33pt;height:150.33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Техническое состояние и укомплектованность транспортног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о средства, их узлов и агрегатов не соответствует требованиям технических нормативных правовых актов, настоящих Правил, а также эксплуатационных документов (несоответствие тентового покрытия требованиям документации, неисправность элементов его крепления; 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отсутствие (несоответствие фар) требованиям эксплуатационных документов).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Выполнение работ по</w:t>
      </w:r>
      <w:r>
        <w:rPr>
          <w:rFonts w:eastAsia="Times New Roman" w:cs="Times New Roman"/>
          <w:b/>
          <w:bCs/>
          <w:sz w:val="28"/>
          <w:szCs w:val="24"/>
          <w:lang w:eastAsia="ru-RU"/>
          <w14:ligatures w14:val="none"/>
        </w:rPr>
        <w:t xml:space="preserve"> 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техническому обслуживанию и ремонту</w:t>
      </w:r>
      <w:r>
        <w:rPr>
          <w:rFonts w:eastAsia="Times New Roman" w:cs="Times New Roman"/>
          <w:b/>
          <w:bCs/>
          <w:sz w:val="28"/>
          <w:szCs w:val="24"/>
          <w:lang w:eastAsia="ru-RU"/>
          <w14:ligatures w14:val="none"/>
        </w:rPr>
        <w:t xml:space="preserve"> 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(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) транспортных средств проводится в специально отведенных местах, оснащенных необходимыми приборами и приспособлениями, инвентарем, оборудованием, предназначенными для выполнения соответствующих видов работ.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Ворота или двери помещений для 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 транспортных средств оборудуются надежными устройствами для фиксации их в закрытом и открытом положениях.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Помещения для 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 автомобилей должны оснащаться упорами или башмаками, устанавливаемыми под колеса, и страховочными подставками (тумбами, козелками) в соответствии с технологической потребностью.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Транспортное средство, установленное на пост 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, необходимо закрепить путем установки не менее двух противооткатных упоров с обеих сторон колеса.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На рулевое колесо автомобиля, автобуса должна быть вывешена предупреждающая табличка с 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надписью: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 «Двигатель не запускать! Работают люди!». На автомобилях, автобусах, имеющих дублирующее устройство для пуска двигателя, аналогичная табличка должна быть вывешена у этого устройства.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При хранении транспортных средств, подлежащих ремонту или списанию, под их колеса должны устанавливаться противооткатные упоры.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sz w:val="24"/>
          <w:szCs w:val="24"/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00650" cy="22479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0065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9.50pt;height:177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Транспортное средство, установленное на пост 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, закреплено путем установки не менее двух противооткатных упоров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sz w:val="24"/>
          <w:szCs w:val="24"/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7830" cy="2223494"/>
                <wp:effectExtent l="0" t="0" r="3175" b="571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081514" cy="2254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2.27pt;height:175.08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Транспортное средство, установленное на пост 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, подлежащее ремонту, списанию не закреплено противооткатными упорами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Работающие, выполняющие работы по 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 транспортных средств, обеспечиваются соответствующими исправными инструментом и приспособлениями, подмостями или лестницами-стремянками. Подмости должны бы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ть устойчивыми и иметь поручни и лестницу. Металлические опоры подмостей должны быть надежно связаны между собой. Выполнение сварочных работ, работ с применением ручного электромеханического, пневматического инструмента с приставных лестниц не допускается.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Работники по профессиям рабочих, выполняющие работы по 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 транспортных средств, обеспечиваются средствами индивидуальной защиты, смывающими и обезвреживающими средствами в соответствии с установленными нормами.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Эксплуатация оборудования, инструмента и приспособлений, применяемых при 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, должна о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существляться в соответствии с требованиями, установленными нормативными правовыми актами, в том числе техническими нормативными правовыми актами, эксплуатационными документами. Оборудование, инструмент и приспособления должны использоваться по назначению.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sz w:val="24"/>
          <w:szCs w:val="24"/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6075" cy="3179445"/>
                <wp:effectExtent l="0" t="0" r="0" b="190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042681" cy="3188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49pt;height:250.3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Эксплуатируемое оборудование, инструменты и приспособления, применяемые при 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, не соответствуют требован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иям, установленным нормативными правовыми актами: (лестница выполнена с нарушением требований (ступени не врезаны в тетивы, сбита гвоздями); используется самодельная кувалда; тележка применяется не по назначению (как подставка под ремонтируемый транспорт).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851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При осуществлении ремонта транспортного средства на линии перед снятием колес необходимо поднять транспортное средство домкратом с установкой страховочных подставок (тумб, козелков) и противооткатных упоров.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851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При установке тр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анспортного средства на страховочные подставки (тумбы, козелки) необходимо следить за тем, чтобы страховочные подставки были надежно установлены на полу, а кузов прочно опирался на рабочую поверхность каждой опоры. На каждой страховочной подставке (тумбе, 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козелке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) должна быть указана предельно допустимая нагрузка.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sz w:val="24"/>
          <w:szCs w:val="24"/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11048" cy="1770347"/>
                <wp:effectExtent l="0" t="0" r="0" b="190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07972" cy="1798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3.31pt;height:139.4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6831" cy="1987440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4835" cy="2020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6.68pt;height:156.49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Транспортные средства, находящиеся на ремонте установлены с нарушением требований безопасности (на случайные предметы, деревянные колодки).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Применяемые металлические подставки (тумбы, козелки) не имеют надписи о предельно допустимой нагрузке.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При техническом обслуживании и ремонте транспортных средств для доступа к агрегатам, узлам и деталям, располож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енным в нижней части транспортных средств, используются осмотровые канавы, размеры которых определяются в зависимости от типа транспортных средств и применяемого оборудования. Неиспользуемые более одной рабочей смены осмотровые канавы должны перекрываться.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Пол осмотровой канавы, в которой производится работа с помощью передвижного грузоподъемного механизма, освобождается от посторонних предметов, деталей и поддерживается в чистоте.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Для перехода через осмотровую канаву следует применять переходные мостики шириной не менее 0,8 м.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Осмотровые кана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вы и эстакады, за исключением канав, оборудованных ленточными конвейерами или специальным технологическим оборудованием (в местах его установки), должны иметь устройства, предотвращающие падение автомобиля в канаву или с эстакады во время его передвижения.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Тупиковые осмотровые канавы дополнительно должны иметь стационарные упоры для колес автомобиля.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sz w:val="24"/>
          <w:szCs w:val="24"/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2716" cy="1582037"/>
                <wp:effectExtent l="0" t="0" r="1905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247858" cy="161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2.89pt;height:124.57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sz w:val="24"/>
          <w:szCs w:val="24"/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7999" cy="2169341"/>
                <wp:effectExtent l="0" t="0" r="0" b="254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26618" cy="219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7.01pt;height:170.81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Осмотровые канавы и эстакады не имеют устройств, предотвращающих падение автомобиля в канаву или с эстакады во время его передвижения.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Неиспользуемые более одной рабочей смены осмотровые канавы не перекрыты (применяемые щиты не полностью закрывают канаву или имеют не прочную поверхность).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Тупиковые осмотровые канавы не имеют дополнительно стационарных упоров для колес автомобиля.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На полу осмотровых канав имеются мусор, вода и посторонние предметы.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В проходах и проездах на территории, где выполняются 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, имеется нагромождение деталей, покрышек, тары от горюче-смазочных материалов, с остатками содержимого.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При необходимости выпо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лнения работ под транспортным средством, находящимся вне осмотровой канавы, подъемника, эстакады, работающие должны обеспечиваться лежаками, а при выполнении работ с упором на колени - наколенниками из материала низкой теплопроводности и водопроницаемости.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Работать лежа на полу или земле без лежака не допускается.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Работы по ремонту и вулканизации шин проводятся в специально выделенных дл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я этого помещениях (цехах, участках, отделениях), оснащенных необходимым шиноремонтным и вулканизационным оборудованием, инвентарем, инструментом, а также вентиляционным оборудованием и средствами пожаротушения, обеспечивающими безопасное выполнение работ.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На постах накачивания шин необходимо наличие таблички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 с указаниями номинального давления в шинах в зависимости от вида транспортного средства. Измерение давления в шинах необходимо производить с помощью манометра (дозатора) для измерения давления воздуха в шинах в зависимости от номинального давления в шине.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Накачивание шин в сборе с ободом колеса производится в специальном металлическом ограждении, способном защищать работающих от ударов съемными деталями обода колеса при самопроизвольном демонтаже.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sz w:val="24"/>
          <w:szCs w:val="24"/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43450" cy="3495675"/>
                <wp:effectExtent l="0" t="0" r="0" b="9525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743450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73.50pt;height:275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Накачивание шин в сборе с ободом колеса производится в специальном металлическом ограждении, способном защитить работающих от ударов съемными деталями обода колеса при его самопроизвольном демонтаже.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На посту накачивания шин имеется табличка с указаниями номинального давления в шинах в зависимости от вида транспортного средства.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sz w:val="24"/>
          <w:szCs w:val="24"/>
          <w:lang w:eastAsia="ru-RU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57800" cy="3514725"/>
                <wp:effectExtent l="0" t="0" r="0" b="9525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57800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14.00pt;height:276.7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eastAsia="Times New Roman" w:cs="Times New Roman"/>
          <w:sz w:val="24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/>
      <w:bookmarkStart w:id="0" w:name="_GoBack"/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Накачивание шин в сборе с ободом колеса производится в ограждении (металлической сетки), не способном защитить работающих от ударов съемными деталями обода колеса при его самопроизвольном демонтаже.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jc w:val="center"/>
        <w:spacing w:before="225" w:after="225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i/>
          <w:iCs/>
          <w:sz w:val="28"/>
          <w:szCs w:val="24"/>
          <w:lang w:eastAsia="ru-RU"/>
          <w14:ligatures w14:val="none"/>
        </w:rPr>
        <w:t xml:space="preserve">На посту накачивания шин отсутствует табличка с указаниями номинального давления в шинах в зависимости от вида транспортного средства.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Участие водителей, других работающих в выполнении работ по 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ТОиР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 транспортных средств допускается при соответствии их квалификации выполняемым работам и прохождении в установленном порядке обучения, стажировки, инструктажа и проверки знаний по вопросам охраны труда.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Перечень мелких технических неисправностей (неполадок), возникших во время работы на маршруте движения (линии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), которые могут устраняться водителем на линии, устанавливается работодателем с учетом перечня неисправностей транспортных средств и условий, при которых запрещается их участие в дорожном движении, определенных приложением 4 к Правилам дорожного движения.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Устранение возникших во время работы на маршруте движени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я (линии) мелких технических неисправностей (неполадок) транспортного средства, не требующих разборки механизмов, проводится водителем с соблюдением мер безопасности. При отсутствии у водителя необходимых приспособлений и инструмента ремонт не допускается.</w:t>
      </w:r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rFonts w:eastAsia="Times New Roman" w:cs="Times New Roman"/>
          <w:sz w:val="28"/>
          <w:szCs w:val="24"/>
          <w:lang w:eastAsia="ru-RU"/>
          <w14:ligatures w14:val="none"/>
        </w:rPr>
      </w:pPr>
      <w:r>
        <w:rPr>
          <w:rFonts w:eastAsia="Times New Roman" w:cs="Times New Roman"/>
          <w:sz w:val="28"/>
          <w:szCs w:val="24"/>
          <w:lang w:eastAsia="ru-RU"/>
          <w14:ligatures w14:val="none"/>
        </w:rPr>
        <w:t xml:space="preserve">Водителю не допускается самовольно привлекать к ремонту транспортного средства на линии посторонних лиц.</w:t>
      </w:r>
      <w:bookmarkEnd w:id="0"/>
      <w:r>
        <w:rPr>
          <w:rFonts w:eastAsia="Times New Roman" w:cs="Times New Roman"/>
          <w:sz w:val="28"/>
          <w:szCs w:val="24"/>
          <w:lang w:eastAsia="ru-RU"/>
          <w14:ligatures w14:val="none"/>
        </w:rPr>
      </w:r>
    </w:p>
    <w:p>
      <w:pPr>
        <w:ind w:firstLine="709"/>
        <w:jc w:val="both"/>
        <w:rPr>
          <w:sz w:val="32"/>
        </w:rPr>
      </w:pPr>
      <w:r>
        <w:rPr>
          <w:sz w:val="32"/>
        </w:rPr>
      </w:r>
      <w:r>
        <w:rPr>
          <w:sz w:val="32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Theme="minorHAnsi" w:cstheme="minorBidi"/>
        <w:sz w:val="30"/>
        <w:szCs w:val="22"/>
        <w:lang w:val="ru-RU" w:eastAsia="en-US" w:bidi="ar-SA"/>
        <w14:ligatures w14:val="standardContextual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3"/>
    <w:next w:val="62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23"/>
    <w:next w:val="62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3"/>
    <w:next w:val="62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3"/>
    <w:next w:val="62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3"/>
    <w:next w:val="62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3"/>
    <w:next w:val="62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3"/>
    <w:next w:val="62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3"/>
    <w:next w:val="62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3"/>
    <w:next w:val="62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23"/>
    <w:next w:val="62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4"/>
    <w:link w:val="34"/>
    <w:uiPriority w:val="10"/>
    <w:rPr>
      <w:sz w:val="48"/>
      <w:szCs w:val="48"/>
    </w:rPr>
  </w:style>
  <w:style w:type="paragraph" w:styleId="36">
    <w:name w:val="Subtitle"/>
    <w:basedOn w:val="623"/>
    <w:next w:val="62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4"/>
    <w:link w:val="36"/>
    <w:uiPriority w:val="11"/>
    <w:rPr>
      <w:sz w:val="24"/>
      <w:szCs w:val="24"/>
    </w:rPr>
  </w:style>
  <w:style w:type="paragraph" w:styleId="38">
    <w:name w:val="Quote"/>
    <w:basedOn w:val="623"/>
    <w:next w:val="62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3"/>
    <w:next w:val="62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3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4"/>
    <w:link w:val="42"/>
    <w:uiPriority w:val="99"/>
  </w:style>
  <w:style w:type="paragraph" w:styleId="44">
    <w:name w:val="Footer"/>
    <w:basedOn w:val="623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4"/>
    <w:link w:val="44"/>
    <w:uiPriority w:val="99"/>
  </w:style>
  <w:style w:type="paragraph" w:styleId="46">
    <w:name w:val="Caption"/>
    <w:basedOn w:val="623"/>
    <w:next w:val="623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24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2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2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c2e6f5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c2e6f5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19749a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1a88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196c23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60cbf3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bfe4f4" w:themeFill="accent1" w:themeFillTint="34"/>
    </w:tblPr>
    <w:tblStylePr w:type="band1Horz">
      <w:tcPr>
        <w:shd w:val="clear" w:color="ffffff" w:themeColor="accent1" w:themeTint="75" w:fill="70c4e7" w:themeFill="accent1" w:themeFillTint="75"/>
      </w:tcPr>
    </w:tblStylePr>
    <w:tblStylePr w:type="band1Vert">
      <w:tcPr>
        <w:shd w:val="clear" w:color="ffffff" w:themeColor="accent1" w:themeTint="75" w:fill="70c4e7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ae2d7" w:themeFill="accent2" w:themeFillTint="32"/>
    </w:tblPr>
    <w:tblStylePr w:type="band1Horz">
      <w:tcPr>
        <w:shd w:val="clear" w:color="ffffff" w:themeColor="accent2" w:themeTint="75" w:fill="f4bca1" w:themeFill="accent2" w:themeFillTint="75"/>
      </w:tcPr>
    </w:tblStylePr>
    <w:tblStylePr w:type="band1Vert">
      <w:tcPr>
        <w:shd w:val="clear" w:color="ffffff" w:themeColor="accent2" w:themeTint="75" w:fill="f4bc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bff0c5" w:themeFill="accent3" w:themeFillTint="34"/>
    </w:tblPr>
    <w:tblStylePr w:type="band1Horz">
      <w:tcPr>
        <w:shd w:val="clear" w:color="ffffff" w:themeColor="accent3" w:themeTint="75" w:fill="72dd7e" w:themeFill="accent3" w:themeFillTint="75"/>
      </w:tcPr>
    </w:tblStylePr>
    <w:tblStylePr w:type="band1Vert">
      <w:tcPr>
        <w:shd w:val="clear" w:color="ffffff" w:themeColor="accent3" w:themeTint="75" w:fill="72dd7e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8edfb" w:themeFill="accent4" w:themeFillTint="34"/>
    </w:tblPr>
    <w:tblStylePr w:type="band1Horz">
      <w:tcPr>
        <w:shd w:val="clear" w:color="ffffff" w:themeColor="accent4" w:themeTint="75" w:fill="85d7f6" w:themeFill="accent4" w:themeFillTint="75"/>
      </w:tcPr>
    </w:tblStylePr>
    <w:tblStylePr w:type="band1Vert">
      <w:tcPr>
        <w:shd w:val="clear" w:color="ffffff" w:themeColor="accent4" w:themeTint="75" w:fill="85d7f6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1ceed" w:themeFill="accent5" w:themeFillTint="34"/>
    </w:tblPr>
    <w:tblStylePr w:type="band1Horz">
      <w:tcPr>
        <w:shd w:val="clear" w:color="ffffff" w:themeColor="accent5" w:themeTint="75" w:fill="e08fd8" w:themeFill="accent5" w:themeFillTint="75"/>
      </w:tcPr>
    </w:tblStylePr>
    <w:tblStylePr w:type="band1Vert">
      <w:tcPr>
        <w:shd w:val="clear" w:color="ffffff" w:themeColor="accent5" w:themeTint="75" w:fill="e08fd8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1d0" w:themeFill="accent6" w:themeFillTint="34"/>
    </w:tblPr>
    <w:tblStylePr w:type="band1Horz">
      <w:tcPr>
        <w:shd w:val="clear" w:color="ffffff" w:themeColor="accent6" w:themeTint="75" w:fill="aae194" w:themeFill="accent6" w:themeFillTint="75"/>
      </w:tcPr>
    </w:tblStylePr>
    <w:tblStylePr w:type="band1Vert">
      <w:tcPr>
        <w:shd w:val="clear" w:color="ffffff" w:themeColor="accent6" w:themeTint="75" w:fill="aae194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tcPr>
        <w:shd w:val="clear" w:color="ffffff" w:themeColor="accent1" w:themeTint="34" w:fill="bfe4f4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1b7ca4" w:themeColor="accent1" w:themeTint="80" w:themeShade="95"/>
      </w:rPr>
    </w:tblStylePr>
    <w:tblStylePr w:type="firstRow">
      <w:rPr>
        <w:b/>
        <w:color w:val="1b7ca4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ca4" w:themeColor="accent1" w:themeTint="80" w:themeShade="95"/>
      </w:rPr>
    </w:tblStylePr>
    <w:tblStylePr w:type="lastRow">
      <w:rPr>
        <w:b/>
        <w:color w:val="1b7ca4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tcPr>
        <w:shd w:val="clear" w:color="ffffff" w:themeColor="accent2" w:themeTint="32" w:fill="fae2d7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34f16" w:themeColor="accent2" w:themeTint="97" w:themeShade="95"/>
      </w:rPr>
    </w:tblStylePr>
    <w:tblStylePr w:type="firstRow">
      <w:rPr>
        <w:b/>
        <w:color w:val="c34f16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34f16" w:themeColor="accent2" w:themeTint="97" w:themeShade="95"/>
      </w:rPr>
    </w:tblStylePr>
    <w:tblStylePr w:type="lastRow">
      <w:rPr>
        <w:b/>
        <w:color w:val="c34f16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tcPr>
        <w:shd w:val="clear" w:color="ffffff" w:themeColor="accent3" w:themeTint="34" w:fill="bff0c5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0e3f14" w:themeColor="accent3" w:themeTint="FE" w:themeShade="95"/>
      </w:rPr>
    </w:tblStylePr>
    <w:tblStylePr w:type="firstRow">
      <w:rPr>
        <w:b/>
        <w:color w:val="0e3f14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e3f14" w:themeColor="accent3" w:themeTint="FE" w:themeShade="95"/>
      </w:rPr>
    </w:tblStylePr>
    <w:tblStylePr w:type="lastRow">
      <w:rPr>
        <w:b/>
        <w:color w:val="0e3f14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tcPr>
        <w:shd w:val="clear" w:color="ffffff" w:themeColor="accent4" w:themeTint="34" w:fill="c8edf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0d8ab8" w:themeColor="accent4" w:themeTint="9A" w:themeShade="95"/>
      </w:rPr>
    </w:tblStylePr>
    <w:tblStylePr w:type="firstRow">
      <w:rPr>
        <w:b/>
        <w:color w:val="0d8ab8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8" w:themeColor="accent4" w:themeTint="9A" w:themeShade="95"/>
      </w:rPr>
    </w:tblStylePr>
    <w:tblStylePr w:type="lastRow">
      <w:rPr>
        <w:b/>
        <w:color w:val="0d8ab8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tcPr>
        <w:shd w:val="clear" w:color="ffffff" w:themeColor="accent5" w:themeTint="34" w:fill="f1ceed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5c1955" w:themeColor="accent5" w:themeShade="95"/>
      </w:rPr>
    </w:tblStylePr>
    <w:tblStylePr w:type="firstRow">
      <w:rPr>
        <w:b/>
        <w:color w:val="5c1955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c1955" w:themeColor="accent5" w:themeShade="95"/>
      </w:rPr>
    </w:tblStylePr>
    <w:tblStylePr w:type="lastRow">
      <w:rPr>
        <w:b/>
        <w:color w:val="5c1955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tcPr>
        <w:shd w:val="clear" w:color="ffffff" w:themeColor="accent6" w:themeTint="34" w:fill="d9f1d0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5c1955" w:themeColor="accent5" w:themeShade="95"/>
      </w:rPr>
    </w:tblStylePr>
    <w:tblStylePr w:type="firstRow">
      <w:rPr>
        <w:b/>
        <w:color w:val="5c1955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c1955" w:themeColor="accent5" w:themeShade="95"/>
      </w:rPr>
    </w:tblStylePr>
    <w:tblStylePr w:type="lastRow">
      <w:rPr>
        <w:b/>
        <w:color w:val="5c1955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1b7ca4" w:themeColor="accent1" w:themeTint="80" w:themeShade="95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tcPr>
        <w:shd w:val="clear" w:color="ffffff" w:themeColor="accent1" w:themeTint="34" w:fill="bfe4f4" w:themeFill="accent1" w:themeFillTint="34"/>
      </w:tcPr>
    </w:tblStylePr>
    <w:tblStylePr w:type="band2Horz">
      <w:rPr>
        <w:rFonts w:ascii="Arial" w:hAnsi="Arial"/>
        <w:color w:val="1b7ca4" w:themeColor="accent1" w:themeTint="80" w:themeShade="95"/>
        <w:sz w:val="22"/>
      </w:rPr>
    </w:tblStylePr>
    <w:tblStylePr w:type="firstCol">
      <w:rPr>
        <w:rFonts w:ascii="Arial" w:hAnsi="Arial"/>
        <w:i/>
        <w:color w:val="1b7ca4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ca4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1b7ca4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1b7ca4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34f16" w:themeColor="accent2" w:themeTint="97" w:themeShade="95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tcPr>
        <w:shd w:val="clear" w:color="ffffff" w:themeColor="accent2" w:themeTint="32" w:fill="fae2d7" w:themeFill="accent2" w:themeFillTint="32"/>
      </w:tcPr>
    </w:tblStylePr>
    <w:tblStylePr w:type="band2Horz">
      <w:rPr>
        <w:rFonts w:ascii="Arial" w:hAnsi="Arial"/>
        <w:color w:val="c34f16" w:themeColor="accent2" w:themeTint="97" w:themeShade="95"/>
        <w:sz w:val="22"/>
      </w:rPr>
    </w:tblStylePr>
    <w:tblStylePr w:type="firstCol">
      <w:rPr>
        <w:rFonts w:ascii="Arial" w:hAnsi="Arial"/>
        <w:i/>
        <w:color w:val="c34f16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34f16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0e3f14" w:themeColor="accent3" w:themeTint="FE" w:themeShade="95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tcPr>
        <w:shd w:val="clear" w:color="ffffff" w:themeColor="accent3" w:themeTint="34" w:fill="bff0c5" w:themeFill="accent3" w:themeFillTint="34"/>
      </w:tcPr>
    </w:tblStylePr>
    <w:tblStylePr w:type="band2Horz">
      <w:rPr>
        <w:rFonts w:ascii="Arial" w:hAnsi="Arial"/>
        <w:color w:val="0e3f14" w:themeColor="accent3" w:themeTint="FE" w:themeShade="95"/>
        <w:sz w:val="22"/>
      </w:rPr>
    </w:tblStylePr>
    <w:tblStylePr w:type="firstCol">
      <w:rPr>
        <w:rFonts w:ascii="Arial" w:hAnsi="Arial"/>
        <w:i/>
        <w:color w:val="0e3f14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e3f14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0e3f14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0e3f14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0d8ab8" w:themeColor="accent4" w:themeTint="9A" w:themeShade="95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tcPr>
        <w:shd w:val="clear" w:color="ffffff" w:themeColor="accent4" w:themeTint="34" w:fill="c8edfb" w:themeFill="accent4" w:themeFillTint="34"/>
      </w:tcPr>
    </w:tblStylePr>
    <w:tblStylePr w:type="band2Horz">
      <w:rPr>
        <w:rFonts w:ascii="Arial" w:hAnsi="Arial"/>
        <w:color w:val="0d8ab8" w:themeColor="accent4" w:themeTint="9A" w:themeShade="95"/>
        <w:sz w:val="22"/>
      </w:rPr>
    </w:tblStylePr>
    <w:tblStylePr w:type="firstCol">
      <w:rPr>
        <w:rFonts w:ascii="Arial" w:hAnsi="Arial"/>
        <w:i/>
        <w:color w:val="0d8ab8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0d8ab8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5c1955" w:themeColor="accent5" w:themeShade="95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tcPr>
        <w:shd w:val="clear" w:color="ffffff" w:themeColor="accent5" w:themeTint="34" w:fill="f1ceed" w:themeFill="accent5" w:themeFillTint="34"/>
      </w:tcPr>
    </w:tblStylePr>
    <w:tblStylePr w:type="band2Horz">
      <w:rPr>
        <w:rFonts w:ascii="Arial" w:hAnsi="Arial"/>
        <w:color w:val="5c1955" w:themeColor="accent5" w:themeShade="95"/>
        <w:sz w:val="22"/>
      </w:rPr>
    </w:tblStylePr>
    <w:tblStylePr w:type="firstCol">
      <w:rPr>
        <w:rFonts w:ascii="Arial" w:hAnsi="Arial"/>
        <w:i/>
        <w:color w:val="5c1955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c1955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5c1955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1955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2e611a" w:themeColor="accent6" w:themeShade="95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tcPr>
        <w:shd w:val="clear" w:color="ffffff" w:themeColor="accent6" w:themeTint="34" w:fill="d9f1d0" w:themeFill="accent6" w:themeFillTint="34"/>
      </w:tcPr>
    </w:tblStylePr>
    <w:tblStylePr w:type="band2Horz">
      <w:rPr>
        <w:rFonts w:ascii="Arial" w:hAnsi="Arial"/>
        <w:color w:val="2e611a" w:themeColor="accent6" w:themeShade="95"/>
        <w:sz w:val="22"/>
      </w:rPr>
    </w:tblStylePr>
    <w:tblStylePr w:type="firstCol">
      <w:rPr>
        <w:rFonts w:ascii="Arial" w:hAnsi="Arial"/>
        <w:i/>
        <w:color w:val="2e611a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11a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2e611a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e611a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47d45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d76cc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90d873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blStylePr w:type="band1Horz"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1a884" w:themeFill="accent2" w:themeFillTint="97"/>
    </w:tblPr>
    <w:tblStylePr w:type="band1Horz">
      <w:tcPr>
        <w:shd w:val="clear" w:color="ffffff" w:themeColor="accent2" w:themeTint="97" w:fill="f1a88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1a88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1a88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1a88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7d458" w:themeFill="accent3" w:themeFillTint="98"/>
    </w:tblPr>
    <w:tblStylePr w:type="band1Horz">
      <w:tcPr>
        <w:shd w:val="clear" w:color="ffffff" w:themeColor="accent3" w:themeTint="98" w:fill="47d458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47d458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47d458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47d458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3" w:themeFill="accent4" w:themeFillTint="9A"/>
    </w:tblPr>
    <w:tblStylePr w:type="band1Horz">
      <w:tcPr>
        <w:shd w:val="clear" w:color="ffffff" w:themeColor="accent4" w:themeTint="9A" w:fill="60cbf3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60cbf3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60cbf3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60cbf3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76ccb" w:themeFill="accent5" w:themeFillTint="9A"/>
    </w:tblPr>
    <w:tblStylePr w:type="band1Horz">
      <w:tcPr>
        <w:shd w:val="clear" w:color="ffffff" w:themeColor="accent5" w:themeTint="9A" w:fill="d76cc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d76cc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d76cc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d76cc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90d873" w:themeFill="accent6" w:themeFillTint="98"/>
    </w:tblPr>
    <w:tblStylePr w:type="band1Horz">
      <w:tcPr>
        <w:shd w:val="clear" w:color="ffffff" w:themeColor="accent6" w:themeTint="98" w:fill="90d873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90d873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90d873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90d873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0c394b" w:themeColor="accent1" w:themeShade="95"/>
      </w:rPr>
    </w:tblStylePr>
    <w:tblStylePr w:type="firstRow">
      <w:rPr>
        <w:b/>
        <w:color w:val="0c394b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94b" w:themeColor="accent1" w:themeShade="95"/>
      </w:rPr>
    </w:tblStylePr>
    <w:tblStylePr w:type="lastRow">
      <w:rPr>
        <w:b/>
        <w:color w:val="0c394b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34f16" w:themeColor="accent2" w:themeTint="97" w:themeShade="95"/>
      </w:rPr>
    </w:tblStylePr>
    <w:tblStylePr w:type="firstRow">
      <w:rPr>
        <w:b/>
        <w:color w:val="c34f16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34f16" w:themeColor="accent2" w:themeTint="97" w:themeShade="95"/>
      </w:rPr>
    </w:tblStylePr>
    <w:tblStylePr w:type="lastRow">
      <w:rPr>
        <w:b/>
        <w:color w:val="c34f16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1f842b" w:themeColor="accent3" w:themeTint="98" w:themeShade="95"/>
      </w:rPr>
    </w:tblStylePr>
    <w:tblStylePr w:type="firstRow">
      <w:rPr>
        <w:b/>
        <w:color w:val="1f842b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1f842b" w:themeColor="accent3" w:themeTint="98" w:themeShade="95"/>
      </w:rPr>
    </w:tblStylePr>
    <w:tblStylePr w:type="lastRow">
      <w:rPr>
        <w:b/>
        <w:color w:val="1f842b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0d8ab8" w:themeColor="accent4" w:themeTint="9A" w:themeShade="95"/>
      </w:rPr>
    </w:tblStylePr>
    <w:tblStylePr w:type="firstRow">
      <w:rPr>
        <w:b/>
        <w:color w:val="0d8ab8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8" w:themeColor="accent4" w:themeTint="9A" w:themeShade="95"/>
      </w:rPr>
    </w:tblStylePr>
    <w:tblStylePr w:type="lastRow">
      <w:rPr>
        <w:b/>
        <w:color w:val="0d8ab8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932888" w:themeColor="accent5" w:themeTint="9A" w:themeShade="95"/>
      </w:rPr>
    </w:tblStylePr>
    <w:tblStylePr w:type="firstRow">
      <w:rPr>
        <w:b/>
        <w:color w:val="932888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32888" w:themeColor="accent5" w:themeTint="9A" w:themeShade="95"/>
      </w:rPr>
    </w:tblStylePr>
    <w:tblStylePr w:type="lastRow">
      <w:rPr>
        <w:b/>
        <w:color w:val="932888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4b952a" w:themeColor="accent6" w:themeTint="98" w:themeShade="95"/>
      </w:rPr>
    </w:tblStylePr>
    <w:tblStylePr w:type="firstRow">
      <w:rPr>
        <w:b/>
        <w:color w:val="4b952a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b952a" w:themeColor="accent6" w:themeTint="98" w:themeShade="95"/>
      </w:rPr>
    </w:tblStylePr>
    <w:tblStylePr w:type="lastRow">
      <w:rPr>
        <w:b/>
        <w:color w:val="4b952a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0c394b" w:themeColor="accent1" w:themeShade="95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band2Horz">
      <w:rPr>
        <w:rFonts w:ascii="Arial" w:hAnsi="Arial"/>
        <w:color w:val="0c394b" w:themeColor="accent1" w:themeShade="95"/>
        <w:sz w:val="22"/>
      </w:rPr>
    </w:tblStylePr>
    <w:tblStylePr w:type="firstCol">
      <w:rPr>
        <w:rFonts w:ascii="Arial" w:hAnsi="Arial"/>
        <w:i/>
        <w:color w:val="0c394b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94b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0c394b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0c394b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0c394b" w:themeColor="accent1" w:themeShade="95"/>
        <w:sz w:val="22"/>
      </w:rPr>
    </w:tblStylePr>
  </w:style>
  <w:style w:type="table" w:styleId="148">
    <w:name w:val="List Table 7 Colorful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34f16" w:themeColor="accent2" w:themeTint="97" w:themeShade="95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band2Horz">
      <w:rPr>
        <w:rFonts w:ascii="Arial" w:hAnsi="Arial"/>
        <w:color w:val="c34f16" w:themeColor="accent2" w:themeTint="97" w:themeShade="95"/>
        <w:sz w:val="22"/>
      </w:rPr>
    </w:tblStylePr>
    <w:tblStylePr w:type="firstCol">
      <w:rPr>
        <w:rFonts w:ascii="Arial" w:hAnsi="Arial"/>
        <w:i/>
        <w:color w:val="c34f16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34f16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34f16" w:themeColor="accent2" w:themeTint="97" w:themeShade="95"/>
        <w:sz w:val="22"/>
      </w:rPr>
    </w:tblStylePr>
  </w:style>
  <w:style w:type="table" w:styleId="149">
    <w:name w:val="List Table 7 Colorful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1f842b" w:themeColor="accent3" w:themeTint="98" w:themeShade="95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band2Horz">
      <w:rPr>
        <w:rFonts w:ascii="Arial" w:hAnsi="Arial"/>
        <w:color w:val="1f842b" w:themeColor="accent3" w:themeTint="98" w:themeShade="95"/>
        <w:sz w:val="22"/>
      </w:rPr>
    </w:tblStylePr>
    <w:tblStylePr w:type="firstCol">
      <w:rPr>
        <w:rFonts w:ascii="Arial" w:hAnsi="Arial"/>
        <w:i/>
        <w:color w:val="1f842b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1f842b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1f842b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1f842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1f842b" w:themeColor="accent3" w:themeTint="98" w:themeShade="95"/>
        <w:sz w:val="22"/>
      </w:rPr>
    </w:tblStylePr>
  </w:style>
  <w:style w:type="table" w:styleId="150">
    <w:name w:val="List Table 7 Colorful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0d8ab8" w:themeColor="accent4" w:themeTint="9A" w:themeShade="95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band2Horz">
      <w:rPr>
        <w:rFonts w:ascii="Arial" w:hAnsi="Arial"/>
        <w:color w:val="0d8ab8" w:themeColor="accent4" w:themeTint="9A" w:themeShade="95"/>
        <w:sz w:val="22"/>
      </w:rPr>
    </w:tblStylePr>
    <w:tblStylePr w:type="firstCol">
      <w:rPr>
        <w:rFonts w:ascii="Arial" w:hAnsi="Arial"/>
        <w:i/>
        <w:color w:val="0d8ab8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0d8ab8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0d8ab8" w:themeColor="accent4" w:themeTint="9A" w:themeShade="95"/>
        <w:sz w:val="22"/>
      </w:rPr>
    </w:tblStylePr>
  </w:style>
  <w:style w:type="table" w:styleId="151">
    <w:name w:val="List Table 7 Colorful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932888" w:themeColor="accent5" w:themeTint="9A" w:themeShade="95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band2Horz">
      <w:rPr>
        <w:rFonts w:ascii="Arial" w:hAnsi="Arial"/>
        <w:color w:val="932888" w:themeColor="accent5" w:themeTint="9A" w:themeShade="95"/>
        <w:sz w:val="22"/>
      </w:rPr>
    </w:tblStylePr>
    <w:tblStylePr w:type="firstCol">
      <w:rPr>
        <w:rFonts w:ascii="Arial" w:hAnsi="Arial"/>
        <w:i/>
        <w:color w:val="932888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32888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932888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32888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32888" w:themeColor="accent5" w:themeTint="9A" w:themeShade="95"/>
        <w:sz w:val="22"/>
      </w:rPr>
    </w:tblStylePr>
  </w:style>
  <w:style w:type="table" w:styleId="152">
    <w:name w:val="List Table 7 Colorful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b952a" w:themeColor="accent6" w:themeTint="98" w:themeShade="95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band2Horz">
      <w:rPr>
        <w:rFonts w:ascii="Arial" w:hAnsi="Arial"/>
        <w:color w:val="4b952a" w:themeColor="accent6" w:themeTint="98" w:themeShade="95"/>
        <w:sz w:val="22"/>
      </w:rPr>
    </w:tblStylePr>
    <w:tblStylePr w:type="firstCol">
      <w:rPr>
        <w:rFonts w:ascii="Arial" w:hAnsi="Arial"/>
        <w:i/>
        <w:color w:val="4b952a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b952a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4b952a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b952a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b952a" w:themeColor="accent6" w:themeTint="98" w:themeShade="95"/>
        <w:sz w:val="22"/>
      </w:rPr>
    </w:tblStylePr>
  </w:style>
  <w:style w:type="table" w:styleId="153">
    <w:name w:val="Lined - Accent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</w:style>
  <w:style w:type="table" w:styleId="155">
    <w:name w:val="Lined - Accent 2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</w:style>
  <w:style w:type="table" w:styleId="156">
    <w:name w:val="Lined - Accent 3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</w:style>
  <w:style w:type="table" w:styleId="157">
    <w:name w:val="Lined - Accent 4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</w:style>
  <w:style w:type="table" w:styleId="158">
    <w:name w:val="Lined - Accent 5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</w:style>
  <w:style w:type="table" w:styleId="159">
    <w:name w:val="Lined - Accent 6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</w:style>
  <w:style w:type="table" w:styleId="160">
    <w:name w:val="Bordered &amp; Lined - Accent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</w:style>
  <w:style w:type="table" w:styleId="162">
    <w:name w:val="Bordered &amp; Lined - Accent 2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</w:style>
  <w:style w:type="table" w:styleId="163">
    <w:name w:val="Bordered &amp; Lined - Accent 3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</w:style>
  <w:style w:type="table" w:styleId="164">
    <w:name w:val="Bordered &amp; Lined - Accent 4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</w:style>
  <w:style w:type="table" w:styleId="165">
    <w:name w:val="Bordered &amp; Lined - Accent 5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</w:style>
  <w:style w:type="table" w:styleId="166">
    <w:name w:val="Bordered &amp; Lined - Accent 6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</w:style>
  <w:style w:type="table" w:styleId="167">
    <w:name w:val="Bordered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2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4"/>
    <w:uiPriority w:val="99"/>
    <w:unhideWhenUsed/>
    <w:rPr>
      <w:vertAlign w:val="superscript"/>
    </w:rPr>
  </w:style>
  <w:style w:type="paragraph" w:styleId="178">
    <w:name w:val="endnote text"/>
    <w:basedOn w:val="62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4"/>
    <w:uiPriority w:val="99"/>
    <w:semiHidden/>
    <w:unhideWhenUsed/>
    <w:rPr>
      <w:vertAlign w:val="superscript"/>
    </w:rPr>
  </w:style>
  <w:style w:type="paragraph" w:styleId="181">
    <w:name w:val="toc 1"/>
    <w:basedOn w:val="623"/>
    <w:next w:val="62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3"/>
    <w:next w:val="62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3"/>
    <w:next w:val="62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3"/>
    <w:next w:val="62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3"/>
    <w:next w:val="62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3"/>
    <w:next w:val="62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3"/>
    <w:next w:val="62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3"/>
    <w:next w:val="62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3"/>
    <w:next w:val="62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3"/>
    <w:next w:val="623"/>
    <w:uiPriority w:val="99"/>
    <w:unhideWhenUsed/>
    <w:pPr>
      <w:spacing w:after="0" w:afterAutospacing="0"/>
    </w:pPr>
  </w:style>
  <w:style w:type="paragraph" w:styleId="623" w:default="1">
    <w:name w:val="Normal"/>
    <w:qFormat/>
  </w:style>
  <w:style w:type="character" w:styleId="624" w:default="1">
    <w:name w:val="Default Paragraph Font"/>
    <w:uiPriority w:val="1"/>
    <w:semiHidden/>
    <w:unhideWhenUsed/>
  </w:style>
  <w:style w:type="table" w:styleId="62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6" w:default="1">
    <w:name w:val="No List"/>
    <w:uiPriority w:val="99"/>
    <w:semiHidden/>
    <w:unhideWhenUsed/>
  </w:style>
  <w:style w:type="paragraph" w:styleId="627">
    <w:name w:val="List Paragraph"/>
    <w:basedOn w:val="623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r7-office/2025.1.1.749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Демьянович В.Г.</dc:creator>
  <cp:keywords/>
  <dc:description/>
  <cp:lastModifiedBy>Юдина Дарья Викторовна</cp:lastModifiedBy>
  <cp:revision>7</cp:revision>
  <dcterms:created xsi:type="dcterms:W3CDTF">2025-07-23T09:41:00Z</dcterms:created>
  <dcterms:modified xsi:type="dcterms:W3CDTF">2025-07-25T11:40:40Z</dcterms:modified>
</cp:coreProperties>
</file>